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80" w:rsidRDefault="001D2A80" w:rsidP="00A16DEB">
      <w:pPr>
        <w:spacing w:after="0"/>
        <w:rPr>
          <w:rFonts w:ascii="Calibri" w:eastAsia="Calibri" w:hAnsi="Calibri" w:cs="Avenir-Heavy"/>
          <w:color w:val="BFBFBF" w:themeColor="background1" w:themeShade="BF"/>
          <w:sz w:val="32"/>
          <w:szCs w:val="32"/>
        </w:rPr>
      </w:pPr>
    </w:p>
    <w:p w:rsidR="00F5328B" w:rsidRDefault="00721BAF" w:rsidP="00A16DEB">
      <w:pPr>
        <w:spacing w:after="0"/>
        <w:rPr>
          <w:rFonts w:ascii="Calibri" w:eastAsia="Calibri" w:hAnsi="Calibri" w:cs="Avenir-Heavy"/>
          <w:color w:val="BFBFBF" w:themeColor="background1" w:themeShade="BF"/>
          <w:sz w:val="32"/>
          <w:szCs w:val="32"/>
        </w:rPr>
      </w:pPr>
      <w:r w:rsidRPr="00721BAF">
        <w:rPr>
          <w:rFonts w:ascii="Calibri" w:eastAsia="Calibri" w:hAnsi="Calibri" w:cs="Avenir-Heavy"/>
          <w:color w:val="BFBFBF" w:themeColor="background1" w:themeShade="BF"/>
          <w:sz w:val="32"/>
          <w:szCs w:val="32"/>
        </w:rPr>
        <w:t xml:space="preserve">NYSE </w:t>
      </w:r>
      <w:r w:rsidR="001D2A80">
        <w:rPr>
          <w:rFonts w:ascii="Calibri" w:eastAsia="Calibri" w:hAnsi="Calibri" w:cs="Avenir-Heavy"/>
          <w:color w:val="BFBFBF" w:themeColor="background1" w:themeShade="BF"/>
          <w:sz w:val="32"/>
          <w:szCs w:val="32"/>
        </w:rPr>
        <w:t>AMERICAN</w:t>
      </w:r>
      <w:r w:rsidRPr="00721BAF">
        <w:rPr>
          <w:rFonts w:ascii="Calibri" w:eastAsia="Calibri" w:hAnsi="Calibri" w:cs="Avenir-Heavy"/>
          <w:color w:val="BFBFBF" w:themeColor="background1" w:themeShade="BF"/>
          <w:sz w:val="32"/>
          <w:szCs w:val="32"/>
        </w:rPr>
        <w:t xml:space="preserve"> LISTING AGREEMENT</w:t>
      </w:r>
    </w:p>
    <w:p w:rsidR="00721BAF" w:rsidRPr="00721BAF" w:rsidRDefault="00721BAF" w:rsidP="00A16DEB">
      <w:pPr>
        <w:spacing w:after="0"/>
        <w:rPr>
          <w:rFonts w:ascii="Calibri" w:eastAsia="Calibri" w:hAnsi="Calibri" w:cs="Avenir-Heavy"/>
          <w:color w:val="BFBFBF" w:themeColor="background1" w:themeShade="BF"/>
          <w:sz w:val="24"/>
          <w:szCs w:val="24"/>
        </w:rPr>
      </w:pPr>
    </w:p>
    <w:p w:rsidR="00721BAF" w:rsidRPr="00C16FD5" w:rsidRDefault="00721BAF" w:rsidP="00721BAF">
      <w:pPr>
        <w:pStyle w:val="BodyText"/>
        <w:spacing w:after="120"/>
        <w:rPr>
          <w:rFonts w:ascii="Calibri" w:hAnsi="Calibri"/>
          <w:szCs w:val="22"/>
        </w:rPr>
      </w:pPr>
      <w:r w:rsidRPr="00C16FD5">
        <w:rPr>
          <w:rFonts w:ascii="Calibri" w:hAnsi="Calibri"/>
          <w:szCs w:val="22"/>
          <w:u w:val="single"/>
        </w:rPr>
        <w:t xml:space="preserve">          </w:t>
      </w:r>
      <w:r w:rsidRPr="00C16FD5">
        <w:rPr>
          <w:rFonts w:ascii="Calibri" w:hAnsi="Calibri"/>
          <w:szCs w:val="22"/>
        </w:rPr>
        <w:t>(</w:t>
      </w:r>
      <w:proofErr w:type="gramStart"/>
      <w:r w:rsidRPr="00C16FD5">
        <w:rPr>
          <w:rFonts w:ascii="Calibri" w:hAnsi="Calibri"/>
          <w:szCs w:val="22"/>
        </w:rPr>
        <w:t>the</w:t>
      </w:r>
      <w:proofErr w:type="gramEnd"/>
      <w:r w:rsidRPr="00C16FD5">
        <w:rPr>
          <w:rFonts w:ascii="Calibri" w:hAnsi="Calibri"/>
          <w:szCs w:val="22"/>
        </w:rPr>
        <w:t xml:space="preserve"> "Company"), in consideration of the listing of its securities, hereby agrees, with the NYSE </w:t>
      </w:r>
      <w:r w:rsidR="001D2A80">
        <w:rPr>
          <w:rFonts w:ascii="Calibri" w:hAnsi="Calibri"/>
          <w:szCs w:val="22"/>
        </w:rPr>
        <w:t>American</w:t>
      </w:r>
      <w:r w:rsidRPr="00C16FD5">
        <w:rPr>
          <w:rFonts w:ascii="Calibri" w:hAnsi="Calibri"/>
          <w:szCs w:val="22"/>
        </w:rPr>
        <w:t xml:space="preserve"> LLC</w:t>
      </w:r>
      <w:r>
        <w:rPr>
          <w:rFonts w:ascii="Calibri" w:hAnsi="Calibri"/>
          <w:szCs w:val="22"/>
        </w:rPr>
        <w:t xml:space="preserve"> (the "Exchange") that:</w:t>
      </w:r>
    </w:p>
    <w:p w:rsidR="00721BAF" w:rsidRPr="00C16FD5" w:rsidRDefault="00721BAF" w:rsidP="00721BAF">
      <w:pPr>
        <w:numPr>
          <w:ilvl w:val="0"/>
          <w:numId w:val="21"/>
        </w:numPr>
        <w:tabs>
          <w:tab w:val="num" w:pos="540"/>
        </w:tabs>
        <w:spacing w:after="120" w:line="240" w:lineRule="auto"/>
        <w:ind w:left="547" w:hanging="547"/>
        <w:rPr>
          <w:rFonts w:ascii="Calibri" w:hAnsi="Calibri"/>
        </w:rPr>
      </w:pPr>
      <w:r w:rsidRPr="00C16FD5">
        <w:rPr>
          <w:rFonts w:ascii="Calibri" w:hAnsi="Calibri"/>
        </w:rPr>
        <w:t>The Company certifies that it will comply with all Exchange rules, policies, and procedures that apply to listed companies as they are now in effect and as they may be amended from time to time, regardless of whether the Company's organization d</w:t>
      </w:r>
      <w:r>
        <w:rPr>
          <w:rFonts w:ascii="Calibri" w:hAnsi="Calibri"/>
        </w:rPr>
        <w:t>o</w:t>
      </w:r>
      <w:r w:rsidRPr="00C16FD5">
        <w:rPr>
          <w:rFonts w:ascii="Calibri" w:hAnsi="Calibri"/>
        </w:rPr>
        <w:t>cuments would allow for a different result.</w:t>
      </w:r>
    </w:p>
    <w:p w:rsidR="00721BAF" w:rsidRPr="00C16FD5" w:rsidRDefault="00721BAF" w:rsidP="00721BAF">
      <w:pPr>
        <w:numPr>
          <w:ilvl w:val="0"/>
          <w:numId w:val="21"/>
        </w:numPr>
        <w:tabs>
          <w:tab w:val="num" w:pos="540"/>
        </w:tabs>
        <w:spacing w:after="120" w:line="240" w:lineRule="auto"/>
        <w:ind w:left="547" w:hanging="547"/>
        <w:rPr>
          <w:rFonts w:ascii="Calibri" w:hAnsi="Calibri"/>
        </w:rPr>
      </w:pPr>
      <w:r w:rsidRPr="00C16FD5">
        <w:rPr>
          <w:rFonts w:ascii="Calibri" w:hAnsi="Calibri"/>
        </w:rPr>
        <w:t>The Company shall notify the Exchange at least 20 days in advance of any change in the form or nature of any listed security or in the rights, benefits, and privileges of the holders of such security.</w:t>
      </w:r>
    </w:p>
    <w:p w:rsidR="00721BAF" w:rsidRPr="00C16FD5" w:rsidRDefault="00721BAF" w:rsidP="00721BAF">
      <w:pPr>
        <w:numPr>
          <w:ilvl w:val="0"/>
          <w:numId w:val="21"/>
        </w:numPr>
        <w:tabs>
          <w:tab w:val="num" w:pos="540"/>
        </w:tabs>
        <w:spacing w:after="120" w:line="240" w:lineRule="auto"/>
        <w:ind w:left="547" w:hanging="547"/>
        <w:rPr>
          <w:rFonts w:ascii="Calibri" w:hAnsi="Calibri"/>
        </w:rPr>
      </w:pPr>
      <w:r w:rsidRPr="00C16FD5">
        <w:rPr>
          <w:rFonts w:ascii="Calibri" w:hAnsi="Calibri"/>
        </w:rPr>
        <w:t>The Company understands that the Exchange may remove its securities from listing on the Exchange, pursuant to applicable procedures, if it fails to meet one or more requirements of Paragraphs 1 and 2 of this agreement.</w:t>
      </w:r>
    </w:p>
    <w:p w:rsidR="00721BAF" w:rsidRPr="00C16FD5" w:rsidRDefault="00721BAF" w:rsidP="00721BAF">
      <w:pPr>
        <w:numPr>
          <w:ilvl w:val="0"/>
          <w:numId w:val="21"/>
        </w:numPr>
        <w:tabs>
          <w:tab w:val="num" w:pos="540"/>
        </w:tabs>
        <w:spacing w:after="120" w:line="240" w:lineRule="auto"/>
        <w:ind w:left="547" w:hanging="547"/>
        <w:rPr>
          <w:rFonts w:ascii="Calibri" w:hAnsi="Calibri"/>
        </w:rPr>
      </w:pPr>
      <w:r w:rsidRPr="00C16FD5">
        <w:rPr>
          <w:rFonts w:ascii="Calibri" w:hAnsi="Calibri"/>
        </w:rPr>
        <w:t>In order to publicize the Company's listing on the Exchange, the Company authorizes the Exchange to use the Company's corporate logos, Web site address (URL)</w:t>
      </w:r>
      <w:proofErr w:type="gramStart"/>
      <w:r w:rsidRPr="00C16FD5">
        <w:rPr>
          <w:rFonts w:ascii="Calibri" w:hAnsi="Calibri"/>
        </w:rPr>
        <w:t>:</w:t>
      </w:r>
      <w:r w:rsidRPr="00C16FD5">
        <w:rPr>
          <w:rFonts w:ascii="Calibri" w:hAnsi="Calibri"/>
          <w:u w:val="single"/>
        </w:rPr>
        <w:t xml:space="preserve">       </w:t>
      </w:r>
      <w:r w:rsidRPr="00C16FD5">
        <w:rPr>
          <w:rFonts w:ascii="Calibri" w:hAnsi="Calibri"/>
        </w:rPr>
        <w:t>,</w:t>
      </w:r>
      <w:proofErr w:type="gramEnd"/>
      <w:r w:rsidRPr="00C16FD5">
        <w:rPr>
          <w:rFonts w:ascii="Calibri" w:hAnsi="Calibri"/>
        </w:rPr>
        <w:t xml:space="preserve"> trade names, and trade/service marks in order to convey quotation information, transactional reporting information, and other information regarding the Company in connection with the Exchange. In order to ensure the accuracy of the information, the Company agrees to provide the Exchange with the Company's current corporate logos, Web site address, trade names, and trade/service marks and with any subsequent changes to those logos, trade names and marks.  Questions regarding lo</w:t>
      </w:r>
      <w:r>
        <w:rPr>
          <w:rFonts w:ascii="Calibri" w:hAnsi="Calibri"/>
        </w:rPr>
        <w:t>go usage should be directed to:</w:t>
      </w:r>
      <w:r w:rsidRPr="00C16FD5">
        <w:rPr>
          <w:rFonts w:ascii="Calibri" w:hAnsi="Calibri"/>
          <w:u w:val="single"/>
        </w:rPr>
        <w:t xml:space="preserve">        </w:t>
      </w:r>
      <w:r>
        <w:rPr>
          <w:rFonts w:ascii="Calibri" w:hAnsi="Calibri"/>
        </w:rPr>
        <w:t xml:space="preserve">  </w:t>
      </w:r>
      <w:r w:rsidRPr="00C16FD5">
        <w:rPr>
          <w:rFonts w:ascii="Calibri" w:hAnsi="Calibri"/>
        </w:rPr>
        <w:t>at (</w:t>
      </w:r>
      <w:r w:rsidRPr="00C16FD5">
        <w:rPr>
          <w:rFonts w:ascii="Calibri" w:hAnsi="Calibri"/>
          <w:u w:val="single"/>
        </w:rPr>
        <w:t xml:space="preserve">      </w:t>
      </w:r>
      <w:r w:rsidRPr="00C16FD5">
        <w:rPr>
          <w:rFonts w:ascii="Calibri" w:hAnsi="Calibri"/>
        </w:rPr>
        <w:t xml:space="preserve">) </w:t>
      </w:r>
      <w:r w:rsidRPr="00C16FD5">
        <w:rPr>
          <w:rFonts w:ascii="Calibri" w:hAnsi="Calibri"/>
          <w:u w:val="single"/>
        </w:rPr>
        <w:t xml:space="preserve">        </w:t>
      </w:r>
      <w:r w:rsidRPr="00C16FD5">
        <w:rPr>
          <w:rFonts w:ascii="Calibri" w:hAnsi="Calibri"/>
        </w:rPr>
        <w:t xml:space="preserve"> - </w:t>
      </w:r>
      <w:r w:rsidRPr="00C16FD5">
        <w:rPr>
          <w:rFonts w:ascii="Calibri" w:hAnsi="Calibri"/>
          <w:u w:val="single"/>
        </w:rPr>
        <w:t xml:space="preserve">         </w:t>
      </w:r>
      <w:r w:rsidRPr="00C16FD5">
        <w:rPr>
          <w:rFonts w:ascii="Calibri" w:hAnsi="Calibri"/>
        </w:rPr>
        <w:t>.</w:t>
      </w:r>
    </w:p>
    <w:p w:rsidR="00721BAF" w:rsidRPr="00C16FD5" w:rsidRDefault="00721BAF" w:rsidP="00721BAF">
      <w:pPr>
        <w:pStyle w:val="BodyTextIndent3"/>
        <w:spacing w:after="120"/>
        <w:ind w:left="547" w:firstLine="0"/>
        <w:rPr>
          <w:rFonts w:ascii="Calibri" w:hAnsi="Calibri"/>
          <w:szCs w:val="22"/>
        </w:rPr>
      </w:pPr>
      <w:r w:rsidRPr="00C16FD5">
        <w:rPr>
          <w:rFonts w:ascii="Calibri" w:hAnsi="Calibri"/>
          <w:szCs w:val="22"/>
        </w:rPr>
        <w:t xml:space="preserve">The Company indemnifies the Exchange and holds it harmless from any third-party rights and/or claims arising out of use by the Exchange or any affiliate ("Corporations") of the Company's corporate logos, Web site address, trade names, trade/service marks, and/or the trading symbol used by the Company. </w:t>
      </w:r>
    </w:p>
    <w:p w:rsidR="00721BAF" w:rsidRPr="00721BAF" w:rsidRDefault="00721BAF" w:rsidP="00721BAF">
      <w:pPr>
        <w:numPr>
          <w:ilvl w:val="0"/>
          <w:numId w:val="21"/>
        </w:numPr>
        <w:tabs>
          <w:tab w:val="num" w:pos="540"/>
        </w:tabs>
        <w:spacing w:after="120" w:line="240" w:lineRule="auto"/>
        <w:ind w:left="547" w:hanging="547"/>
        <w:rPr>
          <w:rFonts w:ascii="Calibri" w:hAnsi="Calibri"/>
        </w:rPr>
      </w:pPr>
      <w:r w:rsidRPr="00C16FD5">
        <w:rPr>
          <w:rFonts w:ascii="Calibri" w:hAnsi="Calibri"/>
        </w:rPr>
        <w:t>The Company warrants and represents that the trading symbol to be used by the Company does not violate any trade/service mark, trade name, or other intellectual property right of any third party.  The Company</w:t>
      </w:r>
      <w:r>
        <w:rPr>
          <w:rFonts w:ascii="Calibri" w:hAnsi="Calibri"/>
        </w:rPr>
        <w:t xml:space="preserve">'s trading symbol </w:t>
      </w:r>
      <w:r w:rsidRPr="00C16FD5">
        <w:rPr>
          <w:rFonts w:ascii="Calibri" w:hAnsi="Calibri"/>
        </w:rPr>
        <w:t>is provided to the Company for the limited purpose of identifying the Company's security in authorized quotation and trading systems.  The Exchange reserves the right to change the Company's trading symbol at the Exchange's discretion at any time.</w:t>
      </w:r>
    </w:p>
    <w:p w:rsidR="00721BAF" w:rsidRPr="00C16FD5" w:rsidRDefault="00721BAF" w:rsidP="00721BAF">
      <w:pPr>
        <w:pStyle w:val="BodyText"/>
        <w:rPr>
          <w:rFonts w:ascii="Calibri" w:hAnsi="Calibri"/>
          <w:szCs w:val="22"/>
        </w:rPr>
      </w:pPr>
      <w:r w:rsidRPr="00C16FD5">
        <w:rPr>
          <w:rFonts w:ascii="Calibri" w:hAnsi="Calibri"/>
          <w:szCs w:val="22"/>
        </w:rPr>
        <w:t>Exchange Warranties;</w:t>
      </w:r>
      <w:r w:rsidRPr="00C16FD5">
        <w:rPr>
          <w:rFonts w:ascii="Calibri" w:hAnsi="Calibri"/>
          <w:b/>
          <w:bCs/>
          <w:szCs w:val="22"/>
        </w:rPr>
        <w:t xml:space="preserve"> </w:t>
      </w:r>
      <w:r w:rsidRPr="00C16FD5">
        <w:rPr>
          <w:rFonts w:ascii="Calibri" w:hAnsi="Calibri"/>
          <w:szCs w:val="22"/>
        </w:rPr>
        <w:t xml:space="preserve">Disclaimers of Warranties. For any goods or services provided to Company, the Exchange shall endeavor to provide them in a good and workmanlike manner. Beyond the warranties stated in this section, there are no other warranties of any kind, express, implied or statutory (including the implied warranties of merchantability or fitness for a particular use or purpose).   </w:t>
      </w:r>
    </w:p>
    <w:p w:rsidR="00721BAF" w:rsidRPr="00C16FD5" w:rsidRDefault="00721BAF" w:rsidP="00721BAF">
      <w:pPr>
        <w:pStyle w:val="BodyText"/>
        <w:rPr>
          <w:rFonts w:ascii="Calibri" w:hAnsi="Calibri"/>
          <w:szCs w:val="22"/>
        </w:rPr>
      </w:pPr>
      <w:r w:rsidRPr="00C16FD5">
        <w:rPr>
          <w:rFonts w:ascii="Calibri" w:hAnsi="Calibri"/>
          <w:szCs w:val="22"/>
        </w:rPr>
        <w:t xml:space="preserve">                                                        </w:t>
      </w:r>
    </w:p>
    <w:p w:rsidR="00721BAF" w:rsidRPr="00C16FD5" w:rsidRDefault="00721BAF" w:rsidP="00721BAF">
      <w:pPr>
        <w:pStyle w:val="BodyText"/>
        <w:spacing w:after="120"/>
        <w:rPr>
          <w:rFonts w:ascii="Calibri" w:hAnsi="Calibri"/>
          <w:b/>
          <w:bCs/>
          <w:szCs w:val="22"/>
        </w:rPr>
      </w:pPr>
      <w:r w:rsidRPr="00C16FD5">
        <w:rPr>
          <w:rFonts w:ascii="Calibri" w:hAnsi="Calibri"/>
          <w:b/>
          <w:bCs/>
          <w:szCs w:val="22"/>
        </w:rPr>
        <w:t>LIMITATION OF CORPORATIONS' LIABILITY:</w:t>
      </w:r>
    </w:p>
    <w:p w:rsidR="00721BAF" w:rsidRPr="00C16FD5" w:rsidRDefault="00721BAF" w:rsidP="00721BAF">
      <w:pPr>
        <w:numPr>
          <w:ilvl w:val="0"/>
          <w:numId w:val="22"/>
        </w:numPr>
        <w:spacing w:after="120" w:line="240" w:lineRule="auto"/>
        <w:ind w:hanging="720"/>
        <w:rPr>
          <w:rFonts w:ascii="Calibri" w:hAnsi="Calibri"/>
        </w:rPr>
      </w:pPr>
      <w:r w:rsidRPr="00C16FD5">
        <w:rPr>
          <w:rFonts w:ascii="Calibri" w:hAnsi="Calibri"/>
        </w:rPr>
        <w:t>In no event will the Corporations be liable for trading losses, losses of profits, indirect, special, punitive, consequential, or incidental loss or damage, even if the Corporations have been advised of the possibility of such damages.</w:t>
      </w:r>
    </w:p>
    <w:p w:rsidR="00721BAF" w:rsidRPr="00C16FD5" w:rsidRDefault="00721BAF" w:rsidP="00721BAF">
      <w:pPr>
        <w:numPr>
          <w:ilvl w:val="0"/>
          <w:numId w:val="22"/>
        </w:numPr>
        <w:spacing w:after="120" w:line="240" w:lineRule="auto"/>
        <w:ind w:hanging="720"/>
        <w:rPr>
          <w:rFonts w:ascii="Calibri" w:hAnsi="Calibri"/>
        </w:rPr>
      </w:pPr>
      <w:r w:rsidRPr="00C16FD5">
        <w:rPr>
          <w:rFonts w:ascii="Calibri" w:hAnsi="Calibri"/>
        </w:rPr>
        <w:t>If the Corporations are held liable, the liability of the Corporations is limited:</w:t>
      </w:r>
    </w:p>
    <w:p w:rsidR="00721BAF" w:rsidRPr="00C16FD5" w:rsidRDefault="00721BAF" w:rsidP="00721BAF">
      <w:pPr>
        <w:numPr>
          <w:ilvl w:val="1"/>
          <w:numId w:val="21"/>
        </w:numPr>
        <w:spacing w:after="0" w:line="240" w:lineRule="auto"/>
        <w:ind w:hanging="720"/>
        <w:rPr>
          <w:rFonts w:ascii="Calibri" w:hAnsi="Calibri"/>
        </w:rPr>
      </w:pPr>
      <w:r w:rsidRPr="00C16FD5">
        <w:rPr>
          <w:rFonts w:ascii="Calibri" w:hAnsi="Calibri"/>
        </w:rPr>
        <w:t>for goods and services for which the Company is specifically charged, to the amount paid by Company for those goods or services during the twelve months preceding the accrual of the claim; and</w:t>
      </w:r>
    </w:p>
    <w:p w:rsidR="00721BAF" w:rsidRPr="00C16FD5" w:rsidRDefault="00721BAF" w:rsidP="00721BAF">
      <w:pPr>
        <w:numPr>
          <w:ilvl w:val="1"/>
          <w:numId w:val="21"/>
        </w:numPr>
        <w:spacing w:after="120" w:line="240" w:lineRule="auto"/>
        <w:ind w:hanging="720"/>
        <w:rPr>
          <w:rFonts w:ascii="Calibri" w:hAnsi="Calibri"/>
        </w:rPr>
      </w:pPr>
      <w:proofErr w:type="gramStart"/>
      <w:r w:rsidRPr="00C16FD5">
        <w:rPr>
          <w:rFonts w:ascii="Calibri" w:hAnsi="Calibri"/>
        </w:rPr>
        <w:t>in</w:t>
      </w:r>
      <w:proofErr w:type="gramEnd"/>
      <w:r w:rsidRPr="00C16FD5">
        <w:rPr>
          <w:rFonts w:ascii="Calibri" w:hAnsi="Calibri"/>
        </w:rPr>
        <w:t xml:space="preserve"> all other instances, to the amount of the annual listing fee paid by the Company during the twelve months preceding the accrual of the claim.</w:t>
      </w:r>
    </w:p>
    <w:p w:rsidR="00721BAF" w:rsidRPr="00C16FD5" w:rsidRDefault="00721BAF" w:rsidP="00721BAF">
      <w:pPr>
        <w:numPr>
          <w:ilvl w:val="0"/>
          <w:numId w:val="22"/>
        </w:numPr>
        <w:spacing w:after="120" w:line="240" w:lineRule="auto"/>
        <w:ind w:hanging="720"/>
        <w:rPr>
          <w:rFonts w:ascii="Calibri" w:hAnsi="Calibri"/>
        </w:rPr>
      </w:pPr>
      <w:r w:rsidRPr="00C16FD5">
        <w:rPr>
          <w:rFonts w:ascii="Calibri" w:hAnsi="Calibri"/>
        </w:rPr>
        <w:lastRenderedPageBreak/>
        <w:t>For goods and services provided under a separate written agreement, the limitation of liability provisions in that agreement shall govern any claims relating to or arising from the provision of those goods and services.</w:t>
      </w:r>
    </w:p>
    <w:p w:rsidR="00721BAF" w:rsidRPr="00C16FD5" w:rsidRDefault="00721BAF" w:rsidP="00721BAF">
      <w:pPr>
        <w:numPr>
          <w:ilvl w:val="0"/>
          <w:numId w:val="22"/>
        </w:numPr>
        <w:spacing w:after="120" w:line="240" w:lineRule="auto"/>
        <w:ind w:hanging="720"/>
        <w:rPr>
          <w:rFonts w:ascii="Calibri" w:hAnsi="Calibri"/>
        </w:rPr>
      </w:pPr>
      <w:r w:rsidRPr="00C16FD5">
        <w:rPr>
          <w:rFonts w:ascii="Calibri" w:hAnsi="Calibri"/>
        </w:rPr>
        <w:t>This subsection shall not relieve the Corporations from liability for damages that result from their own gross negligence or willful tortious misconduct, or from personal injury or wrongful death claims.</w:t>
      </w:r>
    </w:p>
    <w:p w:rsidR="00721BAF" w:rsidRPr="00C16FD5" w:rsidRDefault="00721BAF" w:rsidP="00721BAF">
      <w:pPr>
        <w:numPr>
          <w:ilvl w:val="0"/>
          <w:numId w:val="22"/>
        </w:numPr>
        <w:spacing w:after="120" w:line="240" w:lineRule="auto"/>
        <w:ind w:hanging="720"/>
        <w:rPr>
          <w:rFonts w:ascii="Calibri" w:hAnsi="Calibri"/>
        </w:rPr>
      </w:pPr>
      <w:r w:rsidRPr="00C16FD5">
        <w:rPr>
          <w:rFonts w:ascii="Calibri" w:hAnsi="Calibri"/>
        </w:rPr>
        <w:t>The Corporations shall not be liable for any third parties' goods or services.</w:t>
      </w:r>
    </w:p>
    <w:p w:rsidR="00721BAF" w:rsidRPr="00C16FD5" w:rsidRDefault="00721BAF" w:rsidP="00721BAF">
      <w:pPr>
        <w:numPr>
          <w:ilvl w:val="0"/>
          <w:numId w:val="22"/>
        </w:numPr>
        <w:spacing w:after="120" w:line="240" w:lineRule="auto"/>
        <w:ind w:hanging="720"/>
        <w:rPr>
          <w:rFonts w:ascii="Calibri" w:hAnsi="Calibri"/>
        </w:rPr>
      </w:pPr>
      <w:r w:rsidRPr="00C16FD5">
        <w:rPr>
          <w:rFonts w:ascii="Calibri" w:hAnsi="Calibri"/>
        </w:rPr>
        <w:t>The Company agrees that these terms reflect a reasonable allocation of risk and limitation of liability.</w:t>
      </w:r>
    </w:p>
    <w:p w:rsidR="00721BAF" w:rsidRPr="00C16FD5" w:rsidRDefault="00721BAF" w:rsidP="00721BAF">
      <w:pPr>
        <w:autoSpaceDE w:val="0"/>
        <w:autoSpaceDN w:val="0"/>
        <w:adjustRightInd w:val="0"/>
        <w:rPr>
          <w:rFonts w:ascii="Calibri" w:hAnsi="Calibri"/>
          <w:b/>
          <w:bCs/>
        </w:rPr>
      </w:pPr>
    </w:p>
    <w:p w:rsidR="00721BAF" w:rsidRPr="00C16FD5" w:rsidRDefault="00721BAF" w:rsidP="00721BAF">
      <w:pPr>
        <w:rPr>
          <w:rFonts w:ascii="Calibri" w:hAnsi="Calibri"/>
        </w:rPr>
      </w:pPr>
    </w:p>
    <w:p w:rsidR="00721BAF" w:rsidRPr="00C16FD5" w:rsidRDefault="00721BAF" w:rsidP="00721BAF">
      <w:pPr>
        <w:rPr>
          <w:rFonts w:ascii="Calibri" w:hAnsi="Calibri"/>
        </w:rPr>
      </w:pPr>
    </w:p>
    <w:p w:rsidR="00721BAF" w:rsidRPr="00C16FD5" w:rsidRDefault="00721BAF" w:rsidP="00721BAF">
      <w:pPr>
        <w:autoSpaceDE w:val="0"/>
        <w:autoSpaceDN w:val="0"/>
        <w:adjustRightInd w:val="0"/>
        <w:spacing w:after="0"/>
        <w:ind w:left="3600"/>
        <w:rPr>
          <w:rFonts w:ascii="Calibri" w:hAnsi="Calibri"/>
          <w:u w:val="single"/>
        </w:rPr>
      </w:pPr>
      <w:r w:rsidRPr="00C16FD5">
        <w:rPr>
          <w:rFonts w:ascii="Calibri" w:hAnsi="Calibri"/>
        </w:rPr>
        <w:t>By:</w:t>
      </w:r>
      <w:r w:rsidRPr="00C16FD5">
        <w:rPr>
          <w:rFonts w:ascii="Calibri" w:hAnsi="Calibri"/>
        </w:rPr>
        <w:tab/>
      </w:r>
      <w:r w:rsidRPr="00C16FD5">
        <w:rPr>
          <w:rFonts w:ascii="Calibri" w:hAnsi="Calibri"/>
          <w:u w:val="single"/>
        </w:rPr>
        <w:tab/>
      </w:r>
      <w:r w:rsidRPr="00C16FD5">
        <w:rPr>
          <w:rFonts w:ascii="Calibri" w:hAnsi="Calibri"/>
          <w:u w:val="single"/>
        </w:rPr>
        <w:tab/>
      </w:r>
      <w:r w:rsidRPr="00C16FD5">
        <w:rPr>
          <w:rFonts w:ascii="Calibri" w:hAnsi="Calibri"/>
          <w:u w:val="single"/>
        </w:rPr>
        <w:tab/>
      </w:r>
      <w:r w:rsidRPr="00C16FD5">
        <w:rPr>
          <w:rFonts w:ascii="Calibri" w:hAnsi="Calibri"/>
          <w:u w:val="single"/>
        </w:rPr>
        <w:tab/>
      </w:r>
      <w:r w:rsidRPr="00C16FD5">
        <w:rPr>
          <w:rFonts w:ascii="Calibri" w:hAnsi="Calibri"/>
          <w:u w:val="single"/>
        </w:rPr>
        <w:tab/>
      </w:r>
      <w:r w:rsidRPr="00C16FD5">
        <w:rPr>
          <w:rFonts w:ascii="Calibri" w:hAnsi="Calibri"/>
          <w:u w:val="single"/>
        </w:rPr>
        <w:tab/>
      </w:r>
    </w:p>
    <w:p w:rsidR="00721BAF" w:rsidRPr="00C16FD5" w:rsidRDefault="00721BAF" w:rsidP="00721BAF">
      <w:pPr>
        <w:autoSpaceDE w:val="0"/>
        <w:autoSpaceDN w:val="0"/>
        <w:adjustRightInd w:val="0"/>
        <w:ind w:left="4320"/>
        <w:rPr>
          <w:rFonts w:ascii="Calibri" w:hAnsi="Calibri"/>
          <w:u w:val="single"/>
        </w:rPr>
      </w:pPr>
      <w:r w:rsidRPr="00C16FD5">
        <w:rPr>
          <w:rFonts w:ascii="Calibri" w:hAnsi="Calibri"/>
        </w:rPr>
        <w:t>SIGNATURE</w:t>
      </w:r>
    </w:p>
    <w:p w:rsidR="00721BAF" w:rsidRPr="00C16FD5" w:rsidRDefault="00721BAF" w:rsidP="00721BAF">
      <w:pPr>
        <w:autoSpaceDE w:val="0"/>
        <w:autoSpaceDN w:val="0"/>
        <w:adjustRightInd w:val="0"/>
        <w:ind w:left="3600"/>
        <w:rPr>
          <w:rFonts w:ascii="Calibri" w:hAnsi="Calibri"/>
        </w:rPr>
      </w:pPr>
      <w:r w:rsidRPr="00C16FD5">
        <w:rPr>
          <w:rFonts w:ascii="Calibri" w:hAnsi="Calibri"/>
        </w:rPr>
        <w:tab/>
      </w:r>
      <w:r w:rsidRPr="00C16FD5">
        <w:rPr>
          <w:rFonts w:ascii="Calibri" w:hAnsi="Calibri"/>
        </w:rPr>
        <w:tab/>
      </w:r>
    </w:p>
    <w:tbl>
      <w:tblPr>
        <w:tblW w:w="0" w:type="auto"/>
        <w:tblLook w:val="04A0" w:firstRow="1" w:lastRow="0" w:firstColumn="1" w:lastColumn="0" w:noHBand="0" w:noVBand="1"/>
      </w:tblPr>
      <w:tblGrid>
        <w:gridCol w:w="4338"/>
        <w:gridCol w:w="5508"/>
      </w:tblGrid>
      <w:tr w:rsidR="00721BAF" w:rsidRPr="00C16FD5" w:rsidTr="00721BAF">
        <w:trPr>
          <w:trHeight w:val="252"/>
        </w:trPr>
        <w:tc>
          <w:tcPr>
            <w:tcW w:w="4338" w:type="dxa"/>
          </w:tcPr>
          <w:p w:rsidR="00721BAF" w:rsidRPr="00382087" w:rsidRDefault="00721BAF" w:rsidP="00721BAF">
            <w:pPr>
              <w:spacing w:after="100" w:afterAutospacing="1"/>
              <w:rPr>
                <w:rFonts w:ascii="Calibri" w:eastAsia="Calibri" w:hAnsi="Calibri"/>
              </w:rPr>
            </w:pPr>
            <w:r w:rsidRPr="00382087">
              <w:rPr>
                <w:rFonts w:ascii="Calibri" w:eastAsia="Calibri" w:hAnsi="Calibri"/>
              </w:rPr>
              <w:t>Dated:</w:t>
            </w:r>
            <w:r w:rsidRPr="00382087">
              <w:rPr>
                <w:rFonts w:ascii="Calibri" w:eastAsia="Calibri" w:hAnsi="Calibri"/>
              </w:rPr>
              <w:tab/>
            </w:r>
            <w:r w:rsidRPr="00382087">
              <w:rPr>
                <w:rFonts w:ascii="Calibri" w:eastAsia="Calibri" w:hAnsi="Calibri"/>
                <w:u w:val="single"/>
              </w:rPr>
              <w:t xml:space="preserve">        </w:t>
            </w:r>
            <w:r>
              <w:rPr>
                <w:rFonts w:ascii="Calibri" w:eastAsia="Calibri" w:hAnsi="Calibri"/>
                <w:u w:val="single"/>
              </w:rPr>
              <w:t>_____</w:t>
            </w:r>
            <w:r w:rsidRPr="00382087">
              <w:rPr>
                <w:rFonts w:ascii="Calibri" w:eastAsia="Calibri" w:hAnsi="Calibri"/>
                <w:u w:val="single"/>
              </w:rPr>
              <w:t xml:space="preserve">   </w:t>
            </w:r>
            <w:r w:rsidR="001D2A80">
              <w:rPr>
                <w:rFonts w:ascii="Calibri" w:eastAsia="Calibri" w:hAnsi="Calibri"/>
                <w:u w:val="single"/>
              </w:rPr>
              <w:t>________</w:t>
            </w:r>
            <w:r w:rsidRPr="00382087">
              <w:rPr>
                <w:rFonts w:ascii="Calibri" w:eastAsia="Calibri" w:hAnsi="Calibri"/>
              </w:rPr>
              <w:tab/>
              <w:t xml:space="preserve">           </w:t>
            </w:r>
          </w:p>
        </w:tc>
        <w:tc>
          <w:tcPr>
            <w:tcW w:w="5508" w:type="dxa"/>
          </w:tcPr>
          <w:p w:rsidR="00721BAF" w:rsidRPr="00382087" w:rsidRDefault="00721BAF" w:rsidP="00721BAF">
            <w:pPr>
              <w:spacing w:after="100" w:afterAutospacing="1"/>
              <w:rPr>
                <w:rFonts w:ascii="Calibri" w:eastAsia="Calibri" w:hAnsi="Calibri"/>
                <w:u w:val="single"/>
              </w:rPr>
            </w:pPr>
            <w:r w:rsidRPr="00382087">
              <w:rPr>
                <w:rFonts w:ascii="Calibri" w:eastAsia="Calibri" w:hAnsi="Calibri"/>
                <w:u w:val="single"/>
              </w:rPr>
              <w:t xml:space="preserve">           </w:t>
            </w:r>
            <w:r>
              <w:rPr>
                <w:rFonts w:ascii="Calibri" w:eastAsia="Calibri" w:hAnsi="Calibri"/>
                <w:u w:val="single"/>
              </w:rPr>
              <w:t>_____________________</w:t>
            </w:r>
            <w:r w:rsidRPr="00382087">
              <w:rPr>
                <w:rFonts w:ascii="Calibri" w:eastAsia="Calibri" w:hAnsi="Calibri"/>
              </w:rPr>
              <w:tab/>
            </w:r>
          </w:p>
        </w:tc>
      </w:tr>
    </w:tbl>
    <w:p w:rsidR="00721BAF" w:rsidRPr="00C16FD5" w:rsidRDefault="00721BAF" w:rsidP="00721BAF">
      <w:pPr>
        <w:ind w:left="3600" w:firstLine="720"/>
        <w:rPr>
          <w:rFonts w:ascii="Calibri" w:hAnsi="Calibri"/>
        </w:rPr>
      </w:pPr>
      <w:r w:rsidRPr="00C16FD5">
        <w:rPr>
          <w:rFonts w:ascii="Calibri" w:hAnsi="Calibri"/>
        </w:rPr>
        <w:t>PLEASE PRINT NAME AND TITLE</w:t>
      </w:r>
      <w:r w:rsidRPr="00C16FD5">
        <w:rPr>
          <w:rFonts w:ascii="Calibri" w:hAnsi="Calibri"/>
        </w:rPr>
        <w:tab/>
      </w:r>
    </w:p>
    <w:p w:rsidR="00721BAF" w:rsidRDefault="00721BAF" w:rsidP="00A16DEB">
      <w:pPr>
        <w:spacing w:after="0"/>
      </w:pPr>
      <w:bookmarkStart w:id="0" w:name="_GoBack"/>
      <w:bookmarkEnd w:id="0"/>
    </w:p>
    <w:sectPr w:rsidR="00721BAF" w:rsidSect="001D2A80">
      <w:footerReference w:type="default" r:id="rId12"/>
      <w:headerReference w:type="first" r:id="rId13"/>
      <w:pgSz w:w="12240" w:h="15840" w:code="1"/>
      <w:pgMar w:top="1008" w:right="1008" w:bottom="720" w:left="1008" w:header="720" w:footer="36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0C" w:rsidRDefault="00EE590C">
      <w:pPr>
        <w:spacing w:after="0" w:line="240" w:lineRule="auto"/>
      </w:pPr>
      <w:r>
        <w:separator/>
      </w:r>
    </w:p>
  </w:endnote>
  <w:endnote w:type="continuationSeparator" w:id="0">
    <w:p w:rsidR="00EE590C" w:rsidRDefault="00EE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Heavy">
    <w:altName w:val="Cambria"/>
    <w:panose1 w:val="00000000000000000000"/>
    <w:charset w:val="00"/>
    <w:family w:val="swiss"/>
    <w:notTrueType/>
    <w:pitch w:val="default"/>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28B" w:rsidRDefault="00721BAF" w:rsidP="00721BAF">
    <w:pPr>
      <w:pStyle w:val="Footer"/>
    </w:pPr>
    <w:r w:rsidRPr="00DC76A4">
      <w:rPr>
        <w:rFonts w:ascii="Calibri" w:hAnsi="Calibri" w:cs="AGaramond-Regular"/>
      </w:rPr>
      <w:t xml:space="preserve">© Copyright </w:t>
    </w:r>
    <w:r>
      <w:rPr>
        <w:rFonts w:ascii="Calibri" w:hAnsi="Calibri" w:cs="AGaramond-Regular"/>
      </w:rPr>
      <w:t xml:space="preserve">August </w:t>
    </w:r>
    <w:r w:rsidRPr="00DC76A4">
      <w:rPr>
        <w:rFonts w:ascii="Calibri" w:hAnsi="Calibri" w:cs="AGaramond-Regular"/>
      </w:rPr>
      <w:t>20</w:t>
    </w:r>
    <w:r>
      <w:rPr>
        <w:rFonts w:ascii="Calibri" w:hAnsi="Calibri" w:cs="AGaramond-Regular"/>
      </w:rPr>
      <w:t>12</w:t>
    </w:r>
    <w:r w:rsidRPr="00DC76A4">
      <w:rPr>
        <w:rFonts w:ascii="Calibri" w:hAnsi="Calibri" w:cs="AGaramond-Regular"/>
      </w:rPr>
      <w:t xml:space="preserve">. NYSE </w:t>
    </w:r>
    <w:r w:rsidR="001D2A80">
      <w:rPr>
        <w:rFonts w:ascii="Calibri" w:hAnsi="Calibri" w:cs="AGaramond-Regular"/>
      </w:rPr>
      <w:t>American</w:t>
    </w:r>
    <w:r w:rsidRPr="00DC76A4">
      <w:rPr>
        <w:rFonts w:ascii="Calibri" w:hAnsi="Calibri" w:cs="AGaramond-Regular"/>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0C" w:rsidRDefault="00EE590C">
      <w:pPr>
        <w:spacing w:after="0" w:line="240" w:lineRule="auto"/>
      </w:pPr>
      <w:r>
        <w:separator/>
      </w:r>
    </w:p>
  </w:footnote>
  <w:footnote w:type="continuationSeparator" w:id="0">
    <w:p w:rsidR="00EE590C" w:rsidRDefault="00EE5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EB" w:rsidRPr="001D2A80" w:rsidRDefault="001D2A80" w:rsidP="001D2A80">
    <w:pPr>
      <w:pStyle w:val="Header"/>
    </w:pPr>
    <w:r>
      <w:rPr>
        <w:noProof/>
      </w:rPr>
      <w:drawing>
        <wp:anchor distT="0" distB="0" distL="114300" distR="114300" simplePos="0" relativeHeight="251659264" behindDoc="0" locked="0" layoutInCell="1" allowOverlap="1" wp14:anchorId="7DE0093B" wp14:editId="16CF12C0">
          <wp:simplePos x="0" y="0"/>
          <wp:positionH relativeFrom="margin">
            <wp:posOffset>-78105</wp:posOffset>
          </wp:positionH>
          <wp:positionV relativeFrom="margin">
            <wp:posOffset>-676910</wp:posOffset>
          </wp:positionV>
          <wp:extent cx="2019300" cy="829945"/>
          <wp:effectExtent l="0" t="0" r="0" b="8255"/>
          <wp:wrapSquare wrapText="bothSides"/>
          <wp:docPr id="2" name="Picture 2" descr="cid:image001.png@01D2FB29.2403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FB29.240390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E68422" w:themeColor="accent3"/>
      </w:rPr>
    </w:lvl>
  </w:abstractNum>
  <w:abstractNum w:abstractNumId="5">
    <w:nsid w:val="FFFFFF81"/>
    <w:multiLevelType w:val="singleLevel"/>
    <w:tmpl w:val="9A8A1DFA"/>
    <w:lvl w:ilvl="0">
      <w:start w:val="1"/>
      <w:numFmt w:val="bullet"/>
      <w:pStyle w:val="ListBullet4"/>
      <w:lvlText w:val=""/>
      <w:lvlJc w:val="left"/>
      <w:pPr>
        <w:ind w:left="1440" w:hanging="360"/>
      </w:pPr>
      <w:rPr>
        <w:rFonts w:ascii="Symbol" w:hAnsi="Symbol" w:hint="default"/>
        <w:color w:val="E68422" w:themeColor="accent3"/>
      </w:rPr>
    </w:lvl>
  </w:abstractNum>
  <w:abstractNum w:abstractNumId="6">
    <w:nsid w:val="FFFFFF82"/>
    <w:multiLevelType w:val="singleLevel"/>
    <w:tmpl w:val="4AAC3C4A"/>
    <w:lvl w:ilvl="0">
      <w:start w:val="1"/>
      <w:numFmt w:val="bullet"/>
      <w:pStyle w:val="ListBullet3"/>
      <w:lvlText w:val=""/>
      <w:lvlJc w:val="left"/>
      <w:pPr>
        <w:ind w:left="1080" w:hanging="360"/>
      </w:pPr>
      <w:rPr>
        <w:rFonts w:ascii="Symbol" w:hAnsi="Symbol" w:hint="default"/>
        <w:color w:val="6076B4" w:themeColor="accent1"/>
      </w:rPr>
    </w:lvl>
  </w:abstractNum>
  <w:abstractNum w:abstractNumId="7">
    <w:nsid w:val="FFFFFF83"/>
    <w:multiLevelType w:val="singleLevel"/>
    <w:tmpl w:val="3EFA84BC"/>
    <w:lvl w:ilvl="0">
      <w:start w:val="1"/>
      <w:numFmt w:val="bullet"/>
      <w:pStyle w:val="ListBullet2"/>
      <w:lvlText w:val=""/>
      <w:lvlJc w:val="left"/>
      <w:pPr>
        <w:ind w:left="720" w:hanging="360"/>
      </w:pPr>
      <w:rPr>
        <w:rFonts w:ascii="Symbol" w:hAnsi="Symbol" w:hint="default"/>
        <w:color w:val="6076B4"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ListBullet"/>
      <w:lvlText w:val=""/>
      <w:lvlJc w:val="left"/>
      <w:pPr>
        <w:ind w:left="360" w:hanging="360"/>
      </w:pPr>
      <w:rPr>
        <w:rFonts w:ascii="Symbol" w:hAnsi="Symbol" w:hint="default"/>
        <w:color w:val="6076B4" w:themeColor="accent1"/>
      </w:rPr>
    </w:lvl>
  </w:abstractNum>
  <w:abstractNum w:abstractNumId="10">
    <w:nsid w:val="1C657716"/>
    <w:multiLevelType w:val="hybridMultilevel"/>
    <w:tmpl w:val="37E242A0"/>
    <w:lvl w:ilvl="0" w:tplc="092E69F2">
      <w:start w:val="1"/>
      <w:numFmt w:val="decimal"/>
      <w:lvlText w:val="(%1)"/>
      <w:lvlJc w:val="left"/>
      <w:pPr>
        <w:tabs>
          <w:tab w:val="num" w:pos="720"/>
        </w:tabs>
        <w:ind w:left="720" w:hanging="360"/>
      </w:pPr>
      <w:rPr>
        <w:rFonts w:hint="default"/>
      </w:rPr>
    </w:lvl>
    <w:lvl w:ilvl="1" w:tplc="AD0081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4F5861"/>
    <w:multiLevelType w:val="hybridMultilevel"/>
    <w:tmpl w:val="B25ACBF4"/>
    <w:lvl w:ilvl="0" w:tplc="092E69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721BAF"/>
    <w:rsid w:val="00064EFF"/>
    <w:rsid w:val="001D2A80"/>
    <w:rsid w:val="00721BAF"/>
    <w:rsid w:val="00884AD1"/>
    <w:rsid w:val="008B0E5D"/>
    <w:rsid w:val="00A16DEB"/>
    <w:rsid w:val="00EE590C"/>
    <w:rsid w:val="00F5328B"/>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header" w:uiPriority="0"/>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Body Text" w:uiPriority="0"/>
    <w:lsdException w:name="Subtitle" w:semiHidden="0" w:uiPriority="11" w:unhideWhenUsed="0" w:qFormat="1"/>
    <w:lsdException w:name="Salutation" w:uiPriority="4"/>
    <w:lsdException w:name="Body Text Indent 3" w:uiPriority="0"/>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4"/>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4"/>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9C5252"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paragraph" w:styleId="BodyTextIndent3">
    <w:name w:val="Body Text Indent 3"/>
    <w:basedOn w:val="Normal"/>
    <w:link w:val="BodyTextIndent3Char"/>
    <w:rsid w:val="00721BAF"/>
    <w:pPr>
      <w:spacing w:after="0" w:line="240" w:lineRule="auto"/>
      <w:ind w:firstLine="540"/>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rsid w:val="00721BAF"/>
    <w:rPr>
      <w:rFonts w:ascii="Times New Roman" w:eastAsia="Times New Roman" w:hAnsi="Times New Roman" w:cs="Times New Roman"/>
      <w:szCs w:val="24"/>
    </w:rPr>
  </w:style>
  <w:style w:type="paragraph" w:styleId="BodyText">
    <w:name w:val="Body Text"/>
    <w:basedOn w:val="Normal"/>
    <w:link w:val="BodyTextChar"/>
    <w:rsid w:val="00721BAF"/>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21BAF"/>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6" w:qFormat="1"/>
    <w:lsdException w:name="header" w:uiPriority="0"/>
    <w:lsdException w:name="footer" w:uiPriority="0"/>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Body Text" w:uiPriority="0"/>
    <w:lsdException w:name="Subtitle" w:semiHidden="0" w:uiPriority="11" w:unhideWhenUsed="0" w:qFormat="1"/>
    <w:lsdException w:name="Salutation" w:uiPriority="4"/>
    <w:lsdException w:name="Body Text Indent 3" w:uiPriority="0"/>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4"/>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4"/>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Cs/>
      <w:i/>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IntenseReferenceChar">
    <w:name w:val="Intense Reference Char"/>
    <w:basedOn w:val="DefaultParagraphFont"/>
    <w:uiPriority w:val="32"/>
    <w:rPr>
      <w:rFonts w:cs="Times New Roman"/>
      <w:b/>
      <w:color w:val="auto"/>
      <w:szCs w:val="20"/>
      <w:u w:val="single"/>
    </w:rPr>
  </w:style>
  <w:style w:type="character" w:customStyle="1" w:styleId="SubtleReferenceChar">
    <w:name w:val="Subtle Reference Char"/>
    <w:basedOn w:val="DefaultParagraphFont"/>
    <w:uiPriority w:val="31"/>
    <w:rPr>
      <w:rFonts w:cs="Times New Roman"/>
      <w:color w:val="auto"/>
      <w:szCs w:val="20"/>
      <w:u w:val="single"/>
    </w:rPr>
  </w:style>
  <w:style w:type="character" w:customStyle="1" w:styleId="BookTitleChar">
    <w:name w:val="Book Title Char"/>
    <w:basedOn w:val="DefaultParagraphFont"/>
    <w:uiPriority w:val="33"/>
    <w:rPr>
      <w:rFonts w:asciiTheme="majorHAnsi" w:hAnsiTheme="majorHAnsi" w:cs="Times New Roman"/>
      <w:b/>
      <w:i/>
      <w:color w:val="auto"/>
      <w:szCs w:val="20"/>
    </w:rPr>
  </w:style>
  <w:style w:type="character" w:customStyle="1" w:styleId="IntenseEmphasisChar">
    <w:name w:val="Intense Emphasis Char"/>
    <w:basedOn w:val="DefaultParagraphFont"/>
    <w:uiPriority w:val="21"/>
    <w:rPr>
      <w:rFonts w:cs="Times New Roman"/>
      <w:b/>
      <w:i/>
      <w:color w:val="auto"/>
      <w:szCs w:val="20"/>
    </w:rPr>
  </w:style>
  <w:style w:type="character" w:customStyle="1" w:styleId="SubtleEmphasisChar">
    <w:name w:val="Subtle Emphasis Char"/>
    <w:basedOn w:val="DefaultParagraphFont"/>
    <w:uiPriority w:val="19"/>
    <w:rPr>
      <w:rFonts w:cs="Times New Roman"/>
      <w:i/>
      <w:color w:val="auto"/>
      <w:szCs w:val="20"/>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lang w:bidi="hi-IN"/>
      <w14:ligatures w14:val="standardContextual"/>
      <w14:cntxtAlts/>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auto"/>
      <w:szCs w:val="20"/>
      <w:lang w:eastAsia="ja-JP" w:bidi="he-IL"/>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cs="Times New Roman"/>
      <w:color w:val="auto"/>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auto"/>
      <w:sz w:val="16"/>
      <w:szCs w:val="16"/>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paragraph" w:styleId="NoSpacing">
    <w:name w:val="No Spacing"/>
    <w:link w:val="NoSpacingChar"/>
    <w:uiPriority w:val="1"/>
    <w:qFormat/>
    <w:pPr>
      <w:spacing w:after="0" w:line="240" w:lineRule="auto"/>
    </w:pPr>
  </w:style>
  <w:style w:type="paragraph" w:styleId="BlockText">
    <w:name w:val="Block Text"/>
    <w:aliases w:val="Block Quote"/>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lang w:eastAsia="ko-KR" w:bidi="hi-IN"/>
    </w:rPr>
  </w:style>
  <w:style w:type="paragraph" w:styleId="ListBullet">
    <w:name w:val="List Bullet"/>
    <w:basedOn w:val="Normal"/>
    <w:uiPriority w:val="6"/>
    <w:unhideWhenUsed/>
    <w:pPr>
      <w:numPr>
        <w:numId w:val="16"/>
      </w:numPr>
      <w:spacing w:after="0"/>
      <w:contextualSpacing/>
    </w:pPr>
  </w:style>
  <w:style w:type="paragraph" w:styleId="ListBullet2">
    <w:name w:val="List Bullet 2"/>
    <w:basedOn w:val="Normal"/>
    <w:uiPriority w:val="6"/>
    <w:unhideWhenUsed/>
    <w:pPr>
      <w:numPr>
        <w:numId w:val="17"/>
      </w:numPr>
      <w:spacing w:after="0"/>
    </w:pPr>
  </w:style>
  <w:style w:type="paragraph" w:styleId="ListBullet3">
    <w:name w:val="List Bullet 3"/>
    <w:basedOn w:val="Normal"/>
    <w:uiPriority w:val="6"/>
    <w:unhideWhenUsed/>
    <w:pPr>
      <w:numPr>
        <w:numId w:val="18"/>
      </w:numPr>
      <w:spacing w:after="0"/>
    </w:pPr>
  </w:style>
  <w:style w:type="paragraph" w:styleId="ListBullet4">
    <w:name w:val="List Bullet 4"/>
    <w:basedOn w:val="Normal"/>
    <w:uiPriority w:val="6"/>
    <w:unhideWhenUsed/>
    <w:pPr>
      <w:numPr>
        <w:numId w:val="19"/>
      </w:numPr>
      <w:spacing w:after="0"/>
    </w:pPr>
  </w:style>
  <w:style w:type="paragraph" w:styleId="ListBullet5">
    <w:name w:val="List Bullet 5"/>
    <w:basedOn w:val="Normal"/>
    <w:uiPriority w:val="6"/>
    <w:unhideWhenUsed/>
    <w:pPr>
      <w:numPr>
        <w:numId w:val="20"/>
      </w:numPr>
      <w:spacing w:after="0"/>
    </w:p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9C5252"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semiHidden/>
    <w:unhideWhenUsed/>
    <w:rPr>
      <w:color w:val="auto"/>
      <w:u w:val="single"/>
    </w:rPr>
  </w:style>
  <w:style w:type="character" w:styleId="BookTitle">
    <w:name w:val="Book Title"/>
    <w:basedOn w:val="DefaultParagraphFont"/>
    <w:uiPriority w:val="33"/>
    <w:qFormat/>
    <w:rPr>
      <w:b/>
      <w:bCs/>
      <w:caps w:val="0"/>
      <w:smallCaps/>
      <w:spacing w:val="10"/>
    </w:rPr>
  </w:style>
  <w:style w:type="character" w:styleId="IntenseEmphasis">
    <w:name w:val="Intense Emphasis"/>
    <w:basedOn w:val="DefaultParagraphFont"/>
    <w:uiPriority w:val="21"/>
    <w:qFormat/>
    <w:rPr>
      <w:b w:val="0"/>
      <w:bCs/>
      <w:i/>
      <w:iCs/>
      <w:caps w:val="0"/>
      <w:smallCaps w:val="0"/>
      <w:color w:val="000000"/>
    </w:rPr>
  </w:style>
  <w:style w:type="character" w:styleId="IntenseReference">
    <w:name w:val="Intense Reference"/>
    <w:basedOn w:val="DefaultParagraphFont"/>
    <w:uiPriority w:val="32"/>
    <w:qFormat/>
    <w:rPr>
      <w:b/>
      <w:bCs/>
      <w:caps w:val="0"/>
      <w:smallCaps/>
      <w:color w:val="auto"/>
      <w:spacing w:val="5"/>
      <w:u w:val="single"/>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u w:val="single"/>
    </w:rPr>
  </w:style>
  <w:style w:type="paragraph" w:styleId="Closing">
    <w:name w:val="Closing"/>
    <w:basedOn w:val="Normal"/>
    <w:link w:val="ClosingChar"/>
    <w:uiPriority w:val="5"/>
    <w:unhideWhenUsed/>
    <w:pPr>
      <w:spacing w:before="480" w:after="960"/>
      <w:contextualSpacing/>
    </w:pPr>
  </w:style>
  <w:style w:type="character" w:customStyle="1" w:styleId="ClosingChar">
    <w:name w:val="Closing Char"/>
    <w:basedOn w:val="DefaultParagraphFont"/>
    <w:link w:val="Closing"/>
    <w:uiPriority w:val="5"/>
    <w:rPr>
      <w:rFonts w:cs="Times New Roman"/>
      <w:color w:val="auto"/>
      <w:szCs w:val="20"/>
      <w:lang w:eastAsia="ja-JP" w:bidi="he-IL"/>
    </w:rPr>
  </w:style>
  <w:style w:type="paragraph" w:customStyle="1" w:styleId="RecipientAddress">
    <w:name w:val="Recipient Address"/>
    <w:basedOn w:val="NoSpacing"/>
    <w:uiPriority w:val="3"/>
    <w:pPr>
      <w:spacing w:after="360"/>
      <w:contextualSpacing/>
    </w:pPr>
  </w:style>
  <w:style w:type="paragraph" w:styleId="Salutation">
    <w:name w:val="Salutation"/>
    <w:basedOn w:val="NoSpacing"/>
    <w:next w:val="Normal"/>
    <w:link w:val="SalutationChar"/>
    <w:uiPriority w:val="4"/>
    <w:unhideWhenUsed/>
    <w:pPr>
      <w:spacing w:before="480" w:after="320"/>
      <w:contextualSpacing/>
    </w:pPr>
    <w:rPr>
      <w:b/>
    </w:rPr>
  </w:style>
  <w:style w:type="character" w:customStyle="1" w:styleId="SalutationChar">
    <w:name w:val="Salutation Char"/>
    <w:basedOn w:val="DefaultParagraphFont"/>
    <w:link w:val="Salutation"/>
    <w:uiPriority w:val="4"/>
    <w:rPr>
      <w:rFonts w:cs="Times New Roman"/>
      <w:b/>
      <w:color w:val="auto"/>
      <w:szCs w:val="20"/>
      <w:lang w:eastAsia="ja-JP" w:bidi="he-IL"/>
    </w:rPr>
  </w:style>
  <w:style w:type="paragraph" w:customStyle="1" w:styleId="SenderAddress">
    <w:name w:val="Sender Address"/>
    <w:basedOn w:val="NoSpacing"/>
    <w:uiPriority w:val="2"/>
    <w:pPr>
      <w:spacing w:after="360"/>
      <w:contextualSpacing/>
    </w:pPr>
  </w:style>
  <w:style w:type="paragraph" w:styleId="Subtitle">
    <w:name w:val="Subtitle"/>
    <w:basedOn w:val="Normal"/>
    <w:next w:val="Normal"/>
    <w:link w:val="SubtitleChar"/>
    <w:uiPriority w:val="11"/>
    <w:qFormat/>
    <w:pPr>
      <w:numPr>
        <w:ilvl w:val="1"/>
      </w:numPr>
    </w:pPr>
    <w:rPr>
      <w:rFonts w:eastAsiaTheme="majorEastAsia" w:cstheme="majorBidi"/>
      <w:iCs/>
      <w:color w:val="000000"/>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000000"/>
      <w:spacing w:val="15"/>
      <w:sz w:val="24"/>
      <w:szCs w:val="24"/>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000000"/>
      <w:spacing w:val="5"/>
      <w:kern w:val="28"/>
      <w:sz w:val="56"/>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000000"/>
      <w:spacing w:val="5"/>
      <w:kern w:val="28"/>
      <w:sz w:val="56"/>
      <w:szCs w:val="56"/>
      <w14:ligatures w14:val="standardContextual"/>
      <w14:cntxtAlt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cs="Times New Roman"/>
      <w:color w:val="auto"/>
      <w:szCs w:val="20"/>
      <w:lang w:eastAsia="ja-JP" w:bidi="he-IL"/>
    </w:rPr>
  </w:style>
  <w:style w:type="character" w:styleId="PlaceholderText">
    <w:name w:val="Placeholder Text"/>
    <w:basedOn w:val="DefaultParagraphFont"/>
    <w:uiPriority w:val="99"/>
    <w:unhideWhenUsed/>
    <w:rPr>
      <w:color w:val="808080"/>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rFonts w:cs="Times New Roman"/>
      <w:color w:val="auto"/>
      <w:szCs w:val="20"/>
      <w:lang w:eastAsia="ja-JP" w:bidi="he-IL"/>
    </w:rPr>
  </w:style>
  <w:style w:type="table" w:customStyle="1" w:styleId="Style6">
    <w:name w:val="Style 6"/>
    <w:basedOn w:val="TableNorma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eText">
    <w:name w:val="Date Text"/>
    <w:basedOn w:val="Normal"/>
    <w:uiPriority w:val="35"/>
    <w:pPr>
      <w:spacing w:before="720"/>
      <w:contextualSpacing/>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auto"/>
      <w:sz w:val="24"/>
      <w:shd w:val="clear" w:color="auto" w:fill="6076B4" w:themeFill="accent1"/>
      <w:lang w:bidi="hi-IN"/>
      <w14:ligatures w14:val="standardContextual"/>
      <w14:cntxtAlts/>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paragraph" w:styleId="BodyTextIndent3">
    <w:name w:val="Body Text Indent 3"/>
    <w:basedOn w:val="Normal"/>
    <w:link w:val="BodyTextIndent3Char"/>
    <w:rsid w:val="00721BAF"/>
    <w:pPr>
      <w:spacing w:after="0" w:line="240" w:lineRule="auto"/>
      <w:ind w:firstLine="540"/>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rsid w:val="00721BAF"/>
    <w:rPr>
      <w:rFonts w:ascii="Times New Roman" w:eastAsia="Times New Roman" w:hAnsi="Times New Roman" w:cs="Times New Roman"/>
      <w:szCs w:val="24"/>
    </w:rPr>
  </w:style>
  <w:style w:type="paragraph" w:styleId="BodyText">
    <w:name w:val="Body Text"/>
    <w:basedOn w:val="Normal"/>
    <w:link w:val="BodyTextChar"/>
    <w:rsid w:val="00721BAF"/>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21BAF"/>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2FB29.2403909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New%20York\CPGShare\Capital%20Markets\2014\Katie%20Bowe\Projects\Website\MKT%20Application%20Document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2.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3.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4.xml><?xml version="1.0" encoding="utf-8"?>
<ds:datastoreItem xmlns:ds="http://schemas.openxmlformats.org/officeDocument/2006/customXml" ds:itemID="{17D8F5E5-09B9-4502-B8FF-69F865FD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MKT Application Documents.dotx</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NYSE Euronext</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Bowe</dc:creator>
  <cp:lastModifiedBy>Timothy Keown</cp:lastModifiedBy>
  <cp:revision>3</cp:revision>
  <dcterms:created xsi:type="dcterms:W3CDTF">2018-09-10T18:04:00Z</dcterms:created>
  <dcterms:modified xsi:type="dcterms:W3CDTF">2018-09-10T18:08:00Z</dcterms:modified>
</cp:coreProperties>
</file>